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4B99" w14:textId="77777777" w:rsidR="00926933" w:rsidRDefault="00926933" w:rsidP="00926933">
      <w:pPr>
        <w:widowControl/>
        <w:shd w:val="clear" w:color="auto" w:fill="FFFFFF"/>
        <w:spacing w:after="0" w:line="240" w:lineRule="auto"/>
        <w:jc w:val="right"/>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b/>
          <w:bCs/>
          <w:color w:val="0F1115"/>
          <w:sz w:val="24"/>
          <w:szCs w:val="24"/>
          <w14:ligatures w14:val="none"/>
        </w:rPr>
        <w:t>УТВЕРЖДЕНО</w:t>
      </w:r>
      <w:r w:rsidRPr="00926933">
        <w:rPr>
          <w:rFonts w:ascii="Times New Roman" w:eastAsia="Times New Roman" w:hAnsi="Times New Roman" w:cs="Times New Roman"/>
          <w:color w:val="0F1115"/>
          <w:sz w:val="24"/>
          <w:szCs w:val="24"/>
          <w14:ligatures w14:val="none"/>
        </w:rPr>
        <w:br/>
        <w:t>Решением Общего собрания членов Ассоциации</w:t>
      </w:r>
    </w:p>
    <w:p w14:paraId="05EBFFFD" w14:textId="759862A5" w:rsidR="00926933" w:rsidRPr="00926933" w:rsidRDefault="00926933" w:rsidP="00926933">
      <w:pPr>
        <w:widowControl/>
        <w:shd w:val="clear" w:color="auto" w:fill="FFFFFF"/>
        <w:spacing w:after="0" w:line="240" w:lineRule="auto"/>
        <w:jc w:val="right"/>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 xml:space="preserve"> торговых электронных площадок</w:t>
      </w:r>
      <w:r w:rsidRPr="00926933">
        <w:rPr>
          <w:rFonts w:ascii="Times New Roman" w:eastAsia="Times New Roman" w:hAnsi="Times New Roman" w:cs="Times New Roman"/>
          <w:color w:val="0F1115"/>
          <w:sz w:val="24"/>
          <w:szCs w:val="24"/>
          <w14:ligatures w14:val="none"/>
        </w:rPr>
        <w:br/>
        <w:t>Протокол № __ от «_</w:t>
      </w:r>
      <w:r w:rsidRPr="00926933">
        <w:rPr>
          <w:rFonts w:ascii="Times New Roman" w:eastAsia="Times New Roman" w:hAnsi="Times New Roman" w:cs="Times New Roman"/>
          <w:b/>
          <w:bCs/>
          <w:color w:val="0F1115"/>
          <w:sz w:val="24"/>
          <w:szCs w:val="24"/>
          <w14:ligatures w14:val="none"/>
        </w:rPr>
        <w:t>» __________ 20</w:t>
      </w:r>
      <w:r w:rsidRPr="00926933">
        <w:rPr>
          <w:rFonts w:ascii="Times New Roman" w:eastAsia="Times New Roman" w:hAnsi="Times New Roman" w:cs="Times New Roman"/>
          <w:color w:val="0F1115"/>
          <w:sz w:val="24"/>
          <w:szCs w:val="24"/>
          <w14:ligatures w14:val="none"/>
        </w:rPr>
        <w:t> г.</w:t>
      </w:r>
    </w:p>
    <w:p w14:paraId="49C82FAD" w14:textId="69E1B0F3" w:rsidR="00926933" w:rsidRDefault="00926933" w:rsidP="00926933">
      <w:pPr>
        <w:widowControl/>
        <w:spacing w:before="480" w:after="480" w:line="240" w:lineRule="auto"/>
        <w:rPr>
          <w:rFonts w:ascii="Times New Roman" w:eastAsia="Times New Roman" w:hAnsi="Times New Roman" w:cs="Times New Roman"/>
          <w:sz w:val="24"/>
          <w:szCs w:val="24"/>
          <w14:ligatures w14:val="none"/>
        </w:rPr>
      </w:pPr>
    </w:p>
    <w:p w14:paraId="5778262F" w14:textId="77777777" w:rsidR="00926933" w:rsidRDefault="00926933" w:rsidP="00926933">
      <w:pPr>
        <w:widowControl/>
        <w:spacing w:before="480" w:after="480" w:line="240" w:lineRule="auto"/>
        <w:rPr>
          <w:rFonts w:ascii="Times New Roman" w:eastAsia="Times New Roman" w:hAnsi="Times New Roman" w:cs="Times New Roman"/>
          <w:sz w:val="24"/>
          <w:szCs w:val="24"/>
          <w14:ligatures w14:val="none"/>
        </w:rPr>
      </w:pPr>
    </w:p>
    <w:p w14:paraId="210FE7E6" w14:textId="77777777" w:rsidR="00926933" w:rsidRDefault="00926933" w:rsidP="00926933">
      <w:pPr>
        <w:widowControl/>
        <w:spacing w:before="480" w:after="480" w:line="240" w:lineRule="auto"/>
        <w:rPr>
          <w:rFonts w:ascii="Times New Roman" w:eastAsia="Times New Roman" w:hAnsi="Times New Roman" w:cs="Times New Roman"/>
          <w:sz w:val="24"/>
          <w:szCs w:val="24"/>
          <w14:ligatures w14:val="none"/>
        </w:rPr>
      </w:pPr>
    </w:p>
    <w:p w14:paraId="07AE21AD" w14:textId="77777777" w:rsidR="00926933" w:rsidRPr="00926933" w:rsidRDefault="00926933" w:rsidP="00926933">
      <w:pPr>
        <w:widowControl/>
        <w:spacing w:before="480" w:after="480" w:line="240" w:lineRule="auto"/>
        <w:rPr>
          <w:rFonts w:ascii="Times New Roman" w:eastAsia="Times New Roman" w:hAnsi="Times New Roman" w:cs="Times New Roman"/>
          <w:sz w:val="24"/>
          <w:szCs w:val="24"/>
          <w14:ligatures w14:val="none"/>
        </w:rPr>
      </w:pPr>
    </w:p>
    <w:p w14:paraId="1FD9E47B" w14:textId="77777777" w:rsidR="00926933" w:rsidRPr="00926933" w:rsidRDefault="00926933" w:rsidP="00926933">
      <w:pPr>
        <w:widowControl/>
        <w:shd w:val="clear" w:color="auto" w:fill="FFFFFF"/>
        <w:spacing w:before="480" w:after="240" w:line="480" w:lineRule="atLeast"/>
        <w:jc w:val="center"/>
        <w:outlineLvl w:val="1"/>
        <w:rPr>
          <w:rFonts w:ascii="Times New Roman" w:eastAsia="Times New Roman" w:hAnsi="Times New Roman" w:cs="Times New Roman"/>
          <w:b/>
          <w:bCs/>
          <w:color w:val="0F1115"/>
          <w:sz w:val="33"/>
          <w:szCs w:val="33"/>
          <w14:ligatures w14:val="none"/>
        </w:rPr>
      </w:pPr>
      <w:r w:rsidRPr="00926933">
        <w:rPr>
          <w:rFonts w:ascii="Times New Roman" w:eastAsia="Times New Roman" w:hAnsi="Times New Roman" w:cs="Times New Roman"/>
          <w:b/>
          <w:bCs/>
          <w:color w:val="0F1115"/>
          <w:sz w:val="33"/>
          <w:szCs w:val="33"/>
          <w14:ligatures w14:val="none"/>
        </w:rPr>
        <w:t>ПОЛОЖЕНИЕ ОБ УСЛОВИЯХ ЧЛЕНСТВА</w:t>
      </w:r>
    </w:p>
    <w:p w14:paraId="0F82F852" w14:textId="1D2A9129"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r w:rsidRPr="00926933">
        <w:rPr>
          <w:rFonts w:ascii="Times New Roman" w:eastAsia="Times New Roman" w:hAnsi="Times New Roman" w:cs="Times New Roman"/>
          <w:b/>
          <w:bCs/>
          <w:color w:val="0F1115"/>
          <w:sz w:val="24"/>
          <w:szCs w:val="24"/>
          <w14:ligatures w14:val="none"/>
        </w:rPr>
        <w:t>В АССОЦИАЦИИ ТОРГОВЫХ ЭЛЕКТРОННЫХ ПЛОЩАДОК (АТЭП)</w:t>
      </w:r>
    </w:p>
    <w:p w14:paraId="6A54FB0B"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1A665EF6"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49D2716E"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72E81AD5"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1A7AE048"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124333F3"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450FE4ED"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39B7DD5C"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5BBD8987"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0BE1479F"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03B6288F"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42F6E34A"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378AEEA3"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3FC65592"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05F67A0A" w14:textId="77777777" w:rsidR="00926933" w:rsidRDefault="00926933" w:rsidP="00926933">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36EA9A47" w14:textId="60734A49" w:rsidR="00926933" w:rsidRPr="00926933" w:rsidRDefault="00926933" w:rsidP="00926933">
      <w:pPr>
        <w:widowControl/>
        <w:shd w:val="clear" w:color="auto" w:fill="FFFFFF"/>
        <w:spacing w:before="240" w:after="240" w:line="240" w:lineRule="auto"/>
        <w:jc w:val="center"/>
        <w:rPr>
          <w:rFonts w:ascii="Times New Roman" w:eastAsia="Times New Roman" w:hAnsi="Times New Roman" w:cs="Times New Roman"/>
          <w:color w:val="0F1115"/>
          <w:sz w:val="24"/>
          <w:szCs w:val="24"/>
          <w14:ligatures w14:val="none"/>
        </w:rPr>
      </w:pPr>
      <w:r>
        <w:rPr>
          <w:rFonts w:ascii="Times New Roman" w:eastAsia="Times New Roman" w:hAnsi="Times New Roman" w:cs="Times New Roman"/>
          <w:b/>
          <w:bCs/>
          <w:color w:val="0F1115"/>
          <w:sz w:val="24"/>
          <w:szCs w:val="24"/>
          <w14:ligatures w14:val="none"/>
        </w:rPr>
        <w:t xml:space="preserve">Москва 2026 </w:t>
      </w:r>
    </w:p>
    <w:p w14:paraId="2E7D193D" w14:textId="77777777" w:rsidR="00926933" w:rsidRPr="00926933" w:rsidRDefault="00926933" w:rsidP="00926933">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926933">
        <w:rPr>
          <w:rFonts w:ascii="Times New Roman" w:eastAsia="Times New Roman" w:hAnsi="Times New Roman" w:cs="Times New Roman"/>
          <w:b/>
          <w:bCs/>
          <w:color w:val="0F1115"/>
          <w:sz w:val="30"/>
          <w:szCs w:val="30"/>
          <w14:ligatures w14:val="none"/>
        </w:rPr>
        <w:lastRenderedPageBreak/>
        <w:t>Статья 1. Общие положения</w:t>
      </w:r>
    </w:p>
    <w:p w14:paraId="103DFC86"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1.1. Настоящее Положение разработано на основании Гражданского кодекса Российской Федерации, Федерального закона от 26.10.2002 № 127-ФЗ «О несостоятельности (банкротстве)», Федерального закона от 01.12.2007 № 315-ФЗ «О саморегулируемых организациях», Федерального закона от 12.01.1996 № 7-ФЗ «О некоммерческих организациях», Устава Ассоциации торговых электронных площадок (далее – Ассоциация, АТЭП) и устанавливает обязательные требования, предъявляемые к лицам, желающим вступить в Ассоциацию, а также условия, которые должны соблюдаться членами Ассоциации в период членства.</w:t>
      </w:r>
    </w:p>
    <w:p w14:paraId="350D5F78"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1.2. Настоящее Положение является внутренним документом Ассоциации, обязательным для исполнения всеми членами Ассоциации, её органами управления и специализированными органами.</w:t>
      </w:r>
    </w:p>
    <w:p w14:paraId="71CD9DC4" w14:textId="77777777" w:rsidR="00926933" w:rsidRPr="00926933" w:rsidRDefault="00926933" w:rsidP="00926933">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926933">
        <w:rPr>
          <w:rFonts w:ascii="Times New Roman" w:eastAsia="Times New Roman" w:hAnsi="Times New Roman" w:cs="Times New Roman"/>
          <w:b/>
          <w:bCs/>
          <w:color w:val="0F1115"/>
          <w:sz w:val="30"/>
          <w:szCs w:val="30"/>
          <w14:ligatures w14:val="none"/>
        </w:rPr>
        <w:t>Статья 2. Условия членства в Ассоциации</w:t>
      </w:r>
    </w:p>
    <w:p w14:paraId="782A6EFF"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2.1. Членами Ассоциации могут быть юридические лица независимо от организационно-правовой формы и формы собственности, а также индивидуальные предприниматели, государственная регистрация которых осуществлена в установленном порядке на территории Российской Федерации, одним из основных видов деятельности которых является обеспечение проведения торгов в электронной форме по продаже имущества или предприятия должников в ходе процедур, применяемых в деле о банкротстве (операторы электронных площадок).</w:t>
      </w:r>
    </w:p>
    <w:p w14:paraId="0EF12427"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 Члены Ассоциации должны соответствовать следующим требованиям:</w:t>
      </w:r>
    </w:p>
    <w:p w14:paraId="540494DA"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 Соответствие оператора электронной площадки и используемой им для проведения торгов в электронной форме электронной площадки (включая технологические, программные, лингвистические, правовые и организационные средства проведения торгов) требованиям, установленным пунктами 14 и 20 статьи 110 Федерального закона «О несостоятельности (банкротстве)», а также иным обязательным требованиям законодательства Российской Федерации.</w:t>
      </w:r>
    </w:p>
    <w:p w14:paraId="4ECF613C"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2.2.2. Соответствие оператора электронной площадки условиям членства, установленным настоящим Положением и иными внутренними документами Ассоциации.</w:t>
      </w:r>
    </w:p>
    <w:p w14:paraId="04D2262C"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2.2.3. Соблюдение оператором электронной площадки требований Устава Ассоциации, а также внутренних документов Ассоциации, включая стандарты и правила профессиональной деятельности операторов электронных площадок, правила профессиональной этики.</w:t>
      </w:r>
    </w:p>
    <w:p w14:paraId="0D0F24A1"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2.2.4. Соблюдение стандартов и правил профессиональной деятельности операторов электронных площадок по проведению торгов в электронной форме, утвержденных Ассоциацией.</w:t>
      </w:r>
    </w:p>
    <w:p w14:paraId="18FCE246"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2.2.5. Соблюдение правил профессиональной этики операторов электронных площадок, утвержденных Ассоциацией.</w:t>
      </w:r>
    </w:p>
    <w:p w14:paraId="38814A3B"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 xml:space="preserve">2.2.6. Наличие у оператора электронной площадки договора обязательного страхования ответственности, соответствующего требованиям статьи 111.7 Федерального закона «О </w:t>
      </w:r>
      <w:r w:rsidRPr="00926933">
        <w:rPr>
          <w:rFonts w:ascii="Times New Roman" w:eastAsia="Times New Roman" w:hAnsi="Times New Roman" w:cs="Times New Roman"/>
          <w:color w:val="0F1115"/>
          <w:sz w:val="24"/>
          <w:szCs w:val="24"/>
          <w14:ligatures w14:val="none"/>
        </w:rPr>
        <w:lastRenderedPageBreak/>
        <w:t>несостоятельности (банкротстве)», а также дополнительным требованиям к такому договору, установленным Ассоциацией.</w:t>
      </w:r>
    </w:p>
    <w:p w14:paraId="5309991E"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2.2.7. Внесение оператором электронной площадки установленных Ассоциацией взносов, в том числе вступительного и регулярных членских взносов, а также взносов в компенсационный фонд Ассоциации в размере, порядке и сроки, определённые решением Общего собрания членов Ассоциации.</w:t>
      </w:r>
    </w:p>
    <w:p w14:paraId="3243EC04"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2.2.8. Отсутствие вступившего в законную силу решения арбитражного суда о признании оператора электронной площадки несостоятельным (банкротом) и об открытии конкурсного производства.</w:t>
      </w:r>
    </w:p>
    <w:p w14:paraId="72C2204E"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2.2.9. Отсутствие вступившего в законную силу решения арбитражного суда о прекращении функционирования лица в качестве оператора электронной площадки.</w:t>
      </w:r>
    </w:p>
    <w:p w14:paraId="1C5E3BC9"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2.2.10. Отсутствие у оператора электронной площадки невозмещённых убытков, причинённых третьим лицам вследствие неисполнения или ненадлежащего исполнения оператором требований законодательства Российской Федерации, стандартов и правил профессиональной деятельности операторов электронных площадок, а также невозмещённых членам Ассоциации убытков, возникших в связи с необходимостью приведения размера компенсационного фонда в соответствие с требованиями статьи 111.8 Федерального закона «О несостоятельности (банкротстве)» после осуществления компенсационной выплаты.</w:t>
      </w:r>
    </w:p>
    <w:p w14:paraId="662853C7"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2.2.11. Наличие программно-аппаратных комплексов, в том числе технологических, программных, лингвистических, правовых и организационных средств проведения торгов в электронной форме, соответствующих стандартам и правилам профессиональной деятельности операторов электронных площадок, утверждённым Ассоциацией, а также внутренних документов (правил, регламентов и др.), обеспечивающих эффективное использование таких комплексов.</w:t>
      </w:r>
    </w:p>
    <w:p w14:paraId="3422D741"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2.2.12. Наличие квалифицированного персонала, необходимого для обеспечения эффективной работы программно-аппаратных комплексов.</w:t>
      </w:r>
    </w:p>
    <w:p w14:paraId="37A8A9E9"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2.2.13. Наличие сведений об операторе электронной площадки в реестре операторов персональных данных (в соответствии с Федеральным законом от 27.07.2006 № 152-ФЗ «О персональных данных»).</w:t>
      </w:r>
    </w:p>
    <w:p w14:paraId="5C8B2C8E"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2.2.14. Отсутствие членства в иных саморегулируемых организациях операторов электронных площадок.</w:t>
      </w:r>
    </w:p>
    <w:p w14:paraId="6239266A"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2.2.15. Отсутствие процедуры ликвидации в отношении оператора электронной площадки.</w:t>
      </w:r>
    </w:p>
    <w:p w14:paraId="4583A0C0"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2.2.16. Отсутствие приостановления деятельности оператора электронной площадки в порядке, установленном Кодексом Российской Федерации об административных правонарушениях.</w:t>
      </w:r>
    </w:p>
    <w:p w14:paraId="65BAC355"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 xml:space="preserve">2.2.17. Отсутствие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процентов балансовой стоимости активов по данным бухгалтерской отчётности за последний отчётный период, за исключением сумм, на которые предоставлены отсрочка, рассрочка, инвестиционный налоговый кредит, которые реструктурированы либо признаны безнадёжными к взысканию. Оператор считается соответствующим данному требованию, если им подано заявление об </w:t>
      </w:r>
      <w:r w:rsidRPr="00926933">
        <w:rPr>
          <w:rFonts w:ascii="Times New Roman" w:eastAsia="Times New Roman" w:hAnsi="Times New Roman" w:cs="Times New Roman"/>
          <w:color w:val="0F1115"/>
          <w:sz w:val="24"/>
          <w:szCs w:val="24"/>
          <w14:ligatures w14:val="none"/>
        </w:rPr>
        <w:lastRenderedPageBreak/>
        <w:t>обжаловании указанных недоимки, задолженности и отсутствует вступившее в законную силу судебное решение по такому заявлению.</w:t>
      </w:r>
    </w:p>
    <w:p w14:paraId="48E48F10"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2.2.18. Отсутствие факта привлечения оператора электронной площадки к административной ответственности за административное правонарушение, предусмотренное статьёй 19.28 КоАП РФ, за исключением случаев, когда постановление обжаловано и решение по жалобе не вступило в силу.</w:t>
      </w:r>
    </w:p>
    <w:p w14:paraId="035123F8"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2.2.19.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оператора электронной площадки судимости за преступления в сфере экономики, преступления, предусмотренные статьями 289–291.1 Уголовного кодекса Российской Федерации (за исключением лиц, у которых судимость погашена или снята), а также отсутствие применения к указанным лицам наказания в виде лишения права занимать определённые должности или заниматься определённой деятельностью, связанной с поставкой товара, выполнением работ, оказанием услуг в рамках проведения торгов в электронной форме.</w:t>
      </w:r>
    </w:p>
    <w:p w14:paraId="5ADD9BB0"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2.2.20. Оператор электронной площадки не входит в одну группу лиц с другим оператором электронной площадки в соответствии с антимонопольным законодательством.</w:t>
      </w:r>
    </w:p>
    <w:p w14:paraId="02AA8A6E"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2.2.21. Отсутствие факта передачи полномочий единоличного исполнительного органа оператора электронной площадки управляющему или управляющей организации.</w:t>
      </w:r>
    </w:p>
    <w:p w14:paraId="638D601F"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2.3. В период членства в Ассоциации каждый член обязан соответствовать установленным настоящим Положением условиям членства.</w:t>
      </w:r>
    </w:p>
    <w:p w14:paraId="41AD6E04"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2.4. Общее собрание членов Ассоциации вправе устанавливать дополнительные профессиональные требования к квалификации, компетентности и независимости оператора электронной площадки, его сотрудников, а также требования к порядку и срокам уплаты вступительных и иных взносов. Нарушение установленных порядка и сроков уплаты взносов признаётся нарушением условий членства и является основанием для принятия решения о прекращении членства в Ассоциации.</w:t>
      </w:r>
    </w:p>
    <w:p w14:paraId="35625763"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2.5. Член Ассоциации, нарушивший условия членства, подлежит исключению из Ассоциации в порядке, установленном правилами приёма в члены и прекращения членства в Ассоциации.</w:t>
      </w:r>
    </w:p>
    <w:p w14:paraId="7A0DBBE4" w14:textId="77777777" w:rsidR="00926933" w:rsidRPr="00926933" w:rsidRDefault="00926933" w:rsidP="00926933">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926933">
        <w:rPr>
          <w:rFonts w:ascii="Times New Roman" w:eastAsia="Times New Roman" w:hAnsi="Times New Roman" w:cs="Times New Roman"/>
          <w:b/>
          <w:bCs/>
          <w:color w:val="0F1115"/>
          <w:sz w:val="30"/>
          <w:szCs w:val="30"/>
          <w14:ligatures w14:val="none"/>
        </w:rPr>
        <w:t>Статья 3. Заключительные положения</w:t>
      </w:r>
    </w:p>
    <w:p w14:paraId="7BEE019A"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3.1. Настоящее Положение вступает в силу с момента его утверждения Общим собранием членов Ассоциации.</w:t>
      </w:r>
    </w:p>
    <w:p w14:paraId="74C060CF" w14:textId="77777777" w:rsidR="00926933" w:rsidRPr="00926933" w:rsidRDefault="00926933" w:rsidP="00926933">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3.2. Изменения и дополнения в настоящее Положение вносятся по решению Общего собрания членов Ассоциации и оформляются протоколом.</w:t>
      </w:r>
    </w:p>
    <w:p w14:paraId="134EECBF" w14:textId="77777777" w:rsidR="00926933" w:rsidRPr="00926933" w:rsidRDefault="00926933" w:rsidP="00926933">
      <w:pPr>
        <w:widowControl/>
        <w:shd w:val="clear" w:color="auto" w:fill="FFFFFF"/>
        <w:spacing w:before="240" w:after="0" w:line="240" w:lineRule="auto"/>
        <w:jc w:val="both"/>
        <w:rPr>
          <w:rFonts w:ascii="Times New Roman" w:eastAsia="Times New Roman" w:hAnsi="Times New Roman" w:cs="Times New Roman"/>
          <w:color w:val="0F1115"/>
          <w:sz w:val="24"/>
          <w:szCs w:val="24"/>
          <w14:ligatures w14:val="none"/>
        </w:rPr>
      </w:pPr>
      <w:r w:rsidRPr="00926933">
        <w:rPr>
          <w:rFonts w:ascii="Times New Roman" w:eastAsia="Times New Roman" w:hAnsi="Times New Roman" w:cs="Times New Roman"/>
          <w:color w:val="0F1115"/>
          <w:sz w:val="24"/>
          <w:szCs w:val="24"/>
          <w14:ligatures w14:val="none"/>
        </w:rPr>
        <w:t>3.3. В части, не урегулированной настоящим Положением, применяются нормы действующего законодательства Российской Федерации и Устава Ассоциации.</w:t>
      </w:r>
    </w:p>
    <w:p w14:paraId="2D6D7D05" w14:textId="77777777" w:rsidR="003D260B" w:rsidRPr="00926933" w:rsidRDefault="003D260B" w:rsidP="00926933">
      <w:pPr>
        <w:jc w:val="both"/>
        <w:rPr>
          <w:rFonts w:ascii="Times New Roman" w:hAnsi="Times New Roman" w:cs="Times New Roman"/>
        </w:rPr>
      </w:pPr>
    </w:p>
    <w:sectPr w:rsidR="003D260B" w:rsidRPr="00926933" w:rsidSect="001D0D2B">
      <w:pgSz w:w="11906" w:h="16838"/>
      <w:pgMar w:top="1134" w:right="850"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C2DE" w14:textId="77777777" w:rsidR="000D12E3" w:rsidRDefault="000D12E3" w:rsidP="00926933">
      <w:pPr>
        <w:spacing w:after="0" w:line="240" w:lineRule="auto"/>
      </w:pPr>
      <w:r>
        <w:separator/>
      </w:r>
    </w:p>
  </w:endnote>
  <w:endnote w:type="continuationSeparator" w:id="0">
    <w:p w14:paraId="6F60E747" w14:textId="77777777" w:rsidR="000D12E3" w:rsidRDefault="000D12E3" w:rsidP="0092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CCFD" w14:textId="77777777" w:rsidR="000D12E3" w:rsidRDefault="000D12E3" w:rsidP="00926933">
      <w:pPr>
        <w:spacing w:after="0" w:line="240" w:lineRule="auto"/>
      </w:pPr>
      <w:r>
        <w:separator/>
      </w:r>
    </w:p>
  </w:footnote>
  <w:footnote w:type="continuationSeparator" w:id="0">
    <w:p w14:paraId="7E72FDDB" w14:textId="77777777" w:rsidR="000D12E3" w:rsidRDefault="000D12E3" w:rsidP="00926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AD"/>
    <w:rsid w:val="000D12E3"/>
    <w:rsid w:val="001D0D2B"/>
    <w:rsid w:val="003D260B"/>
    <w:rsid w:val="006133AD"/>
    <w:rsid w:val="00926933"/>
    <w:rsid w:val="00C26D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4536E"/>
  <w15:chartTrackingRefBased/>
  <w15:docId w15:val="{A42F7238-7168-4701-ACBA-9DEA2BF8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3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33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33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33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33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33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33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33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3A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33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33A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33A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33A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33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33AD"/>
    <w:rPr>
      <w:rFonts w:eastAsiaTheme="majorEastAsia" w:cstheme="majorBidi"/>
      <w:color w:val="595959" w:themeColor="text1" w:themeTint="A6"/>
    </w:rPr>
  </w:style>
  <w:style w:type="character" w:customStyle="1" w:styleId="80">
    <w:name w:val="Заголовок 8 Знак"/>
    <w:basedOn w:val="a0"/>
    <w:link w:val="8"/>
    <w:uiPriority w:val="9"/>
    <w:semiHidden/>
    <w:rsid w:val="006133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33AD"/>
    <w:rPr>
      <w:rFonts w:eastAsiaTheme="majorEastAsia" w:cstheme="majorBidi"/>
      <w:color w:val="272727" w:themeColor="text1" w:themeTint="D8"/>
    </w:rPr>
  </w:style>
  <w:style w:type="paragraph" w:styleId="a3">
    <w:name w:val="Title"/>
    <w:basedOn w:val="a"/>
    <w:next w:val="a"/>
    <w:link w:val="a4"/>
    <w:uiPriority w:val="10"/>
    <w:qFormat/>
    <w:rsid w:val="0061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3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3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33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33AD"/>
    <w:pPr>
      <w:spacing w:before="160"/>
      <w:jc w:val="center"/>
    </w:pPr>
    <w:rPr>
      <w:i/>
      <w:iCs/>
      <w:color w:val="404040" w:themeColor="text1" w:themeTint="BF"/>
    </w:rPr>
  </w:style>
  <w:style w:type="character" w:customStyle="1" w:styleId="22">
    <w:name w:val="Цитата 2 Знак"/>
    <w:basedOn w:val="a0"/>
    <w:link w:val="21"/>
    <w:uiPriority w:val="29"/>
    <w:rsid w:val="006133AD"/>
    <w:rPr>
      <w:i/>
      <w:iCs/>
      <w:color w:val="404040" w:themeColor="text1" w:themeTint="BF"/>
    </w:rPr>
  </w:style>
  <w:style w:type="paragraph" w:styleId="a7">
    <w:name w:val="List Paragraph"/>
    <w:basedOn w:val="a"/>
    <w:uiPriority w:val="34"/>
    <w:qFormat/>
    <w:rsid w:val="006133AD"/>
    <w:pPr>
      <w:ind w:left="720"/>
      <w:contextualSpacing/>
    </w:pPr>
  </w:style>
  <w:style w:type="character" w:styleId="a8">
    <w:name w:val="Intense Emphasis"/>
    <w:basedOn w:val="a0"/>
    <w:uiPriority w:val="21"/>
    <w:qFormat/>
    <w:rsid w:val="006133AD"/>
    <w:rPr>
      <w:i/>
      <w:iCs/>
      <w:color w:val="0F4761" w:themeColor="accent1" w:themeShade="BF"/>
    </w:rPr>
  </w:style>
  <w:style w:type="paragraph" w:styleId="a9">
    <w:name w:val="Intense Quote"/>
    <w:basedOn w:val="a"/>
    <w:next w:val="a"/>
    <w:link w:val="aa"/>
    <w:uiPriority w:val="30"/>
    <w:qFormat/>
    <w:rsid w:val="00613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33AD"/>
    <w:rPr>
      <w:i/>
      <w:iCs/>
      <w:color w:val="0F4761" w:themeColor="accent1" w:themeShade="BF"/>
    </w:rPr>
  </w:style>
  <w:style w:type="character" w:styleId="ab">
    <w:name w:val="Intense Reference"/>
    <w:basedOn w:val="a0"/>
    <w:uiPriority w:val="32"/>
    <w:qFormat/>
    <w:rsid w:val="006133AD"/>
    <w:rPr>
      <w:b/>
      <w:bCs/>
      <w:smallCaps/>
      <w:color w:val="0F4761" w:themeColor="accent1" w:themeShade="BF"/>
      <w:spacing w:val="5"/>
    </w:rPr>
  </w:style>
  <w:style w:type="paragraph" w:styleId="ac">
    <w:name w:val="header"/>
    <w:basedOn w:val="a"/>
    <w:link w:val="ad"/>
    <w:uiPriority w:val="99"/>
    <w:unhideWhenUsed/>
    <w:rsid w:val="0092693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26933"/>
  </w:style>
  <w:style w:type="paragraph" w:styleId="ae">
    <w:name w:val="footer"/>
    <w:basedOn w:val="a"/>
    <w:link w:val="af"/>
    <w:uiPriority w:val="99"/>
    <w:unhideWhenUsed/>
    <w:rsid w:val="0092693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2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Аракелян</dc:creator>
  <cp:keywords/>
  <dc:description/>
  <cp:lastModifiedBy>Анастасия Аракелян</cp:lastModifiedBy>
  <cp:revision>2</cp:revision>
  <dcterms:created xsi:type="dcterms:W3CDTF">2026-02-19T11:36:00Z</dcterms:created>
  <dcterms:modified xsi:type="dcterms:W3CDTF">2026-02-19T11:39:00Z</dcterms:modified>
</cp:coreProperties>
</file>